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1"/>
        <w:gridCol w:w="1833"/>
        <w:gridCol w:w="4475"/>
        <w:gridCol w:w="3101"/>
      </w:tblGrid>
      <w:tr w:rsidR="006809A1" w:rsidRPr="00CD7CA4" w14:paraId="0DF9277C" w14:textId="77777777" w:rsidTr="00153A1F">
        <w:tc>
          <w:tcPr>
            <w:tcW w:w="4631" w:type="dxa"/>
          </w:tcPr>
          <w:p w14:paraId="0D0EFE2B" w14:textId="77777777" w:rsidR="006809A1" w:rsidRPr="00CD7CA4" w:rsidRDefault="006809A1">
            <w:pPr>
              <w:rPr>
                <w:rFonts w:asciiTheme="majorHAnsi" w:hAnsiTheme="majorHAnsi"/>
                <w:sz w:val="22"/>
                <w:szCs w:val="22"/>
              </w:rPr>
            </w:pPr>
            <w:r w:rsidRPr="00CD7CA4">
              <w:rPr>
                <w:rFonts w:asciiTheme="majorHAnsi" w:hAnsiTheme="majorHAnsi"/>
                <w:sz w:val="22"/>
                <w:szCs w:val="22"/>
              </w:rPr>
              <w:t>PROGRAM</w:t>
            </w:r>
          </w:p>
          <w:p w14:paraId="1EAE7A29" w14:textId="03F22AB3" w:rsidR="006809A1" w:rsidRPr="00CD7CA4" w:rsidRDefault="006809A1">
            <w:pPr>
              <w:rPr>
                <w:rFonts w:asciiTheme="majorHAnsi" w:hAnsiTheme="majorHAnsi"/>
                <w:sz w:val="22"/>
                <w:szCs w:val="22"/>
              </w:rPr>
            </w:pPr>
            <w:r w:rsidRPr="00CD7CA4">
              <w:rPr>
                <w:rFonts w:asciiTheme="majorHAnsi" w:hAnsiTheme="majorHAnsi"/>
                <w:sz w:val="22"/>
                <w:szCs w:val="22"/>
              </w:rPr>
              <w:t>AGENCY</w:t>
            </w:r>
            <w:r w:rsidR="008F55FE" w:rsidRPr="00CD7CA4">
              <w:rPr>
                <w:rFonts w:asciiTheme="majorHAnsi" w:hAnsiTheme="majorHAnsi"/>
                <w:sz w:val="22"/>
                <w:szCs w:val="22"/>
              </w:rPr>
              <w:t xml:space="preserve"> / </w:t>
            </w:r>
            <w:r w:rsidRPr="00CD7CA4">
              <w:rPr>
                <w:rFonts w:asciiTheme="majorHAnsi" w:hAnsiTheme="majorHAnsi"/>
                <w:sz w:val="22"/>
                <w:szCs w:val="22"/>
              </w:rPr>
              <w:t>CONTACT</w:t>
            </w:r>
          </w:p>
        </w:tc>
        <w:tc>
          <w:tcPr>
            <w:tcW w:w="1833" w:type="dxa"/>
          </w:tcPr>
          <w:p w14:paraId="26912C3F" w14:textId="77777777" w:rsidR="006809A1" w:rsidRPr="00CD7CA4" w:rsidRDefault="006809A1">
            <w:pPr>
              <w:rPr>
                <w:rFonts w:asciiTheme="majorHAnsi" w:hAnsiTheme="majorHAnsi"/>
                <w:sz w:val="22"/>
                <w:szCs w:val="22"/>
              </w:rPr>
            </w:pPr>
            <w:r w:rsidRPr="00CD7CA4">
              <w:rPr>
                <w:rFonts w:asciiTheme="majorHAnsi" w:hAnsiTheme="majorHAnsi"/>
                <w:sz w:val="22"/>
                <w:szCs w:val="22"/>
              </w:rPr>
              <w:t>DESCRIPTION</w:t>
            </w:r>
          </w:p>
        </w:tc>
        <w:tc>
          <w:tcPr>
            <w:tcW w:w="4475" w:type="dxa"/>
          </w:tcPr>
          <w:p w14:paraId="2A5B2CF4" w14:textId="77777777" w:rsidR="006809A1" w:rsidRPr="00CD7CA4" w:rsidRDefault="006809A1">
            <w:pPr>
              <w:rPr>
                <w:rFonts w:asciiTheme="majorHAnsi" w:hAnsiTheme="majorHAnsi"/>
                <w:sz w:val="22"/>
                <w:szCs w:val="22"/>
              </w:rPr>
            </w:pPr>
            <w:r w:rsidRPr="00CD7CA4">
              <w:rPr>
                <w:rFonts w:asciiTheme="majorHAnsi" w:hAnsiTheme="majorHAnsi"/>
                <w:sz w:val="22"/>
                <w:szCs w:val="22"/>
              </w:rPr>
              <w:t>ELIGIBILITY</w:t>
            </w:r>
          </w:p>
        </w:tc>
        <w:tc>
          <w:tcPr>
            <w:tcW w:w="3101" w:type="dxa"/>
          </w:tcPr>
          <w:p w14:paraId="06D84BBC" w14:textId="77777777" w:rsidR="006809A1" w:rsidRPr="00CD7CA4" w:rsidRDefault="006809A1">
            <w:pPr>
              <w:rPr>
                <w:rFonts w:asciiTheme="majorHAnsi" w:hAnsiTheme="majorHAnsi"/>
                <w:sz w:val="22"/>
                <w:szCs w:val="22"/>
              </w:rPr>
            </w:pPr>
            <w:r w:rsidRPr="00CD7CA4">
              <w:rPr>
                <w:rFonts w:asciiTheme="majorHAnsi" w:hAnsiTheme="majorHAnsi"/>
                <w:sz w:val="22"/>
                <w:szCs w:val="22"/>
              </w:rPr>
              <w:t>QUALIFICATIONS</w:t>
            </w:r>
          </w:p>
          <w:p w14:paraId="32DE1C87" w14:textId="77777777" w:rsidR="006809A1" w:rsidRPr="00CD7CA4" w:rsidRDefault="006809A1">
            <w:pPr>
              <w:rPr>
                <w:rFonts w:asciiTheme="majorHAnsi" w:hAnsiTheme="majorHAnsi"/>
                <w:sz w:val="22"/>
                <w:szCs w:val="22"/>
              </w:rPr>
            </w:pPr>
            <w:r w:rsidRPr="00CD7CA4">
              <w:rPr>
                <w:rFonts w:asciiTheme="majorHAnsi" w:hAnsiTheme="majorHAnsi"/>
                <w:sz w:val="22"/>
                <w:szCs w:val="22"/>
              </w:rPr>
              <w:t>CRITERIA</w:t>
            </w:r>
          </w:p>
        </w:tc>
      </w:tr>
      <w:tr w:rsidR="006809A1" w:rsidRPr="00CD7CA4" w14:paraId="72054111" w14:textId="77777777" w:rsidTr="00153A1F">
        <w:tc>
          <w:tcPr>
            <w:tcW w:w="4631" w:type="dxa"/>
          </w:tcPr>
          <w:p w14:paraId="2A6C7B9E" w14:textId="501A8FE5" w:rsidR="00CB3492" w:rsidRPr="00CD7CA4" w:rsidRDefault="006809A1" w:rsidP="008F55F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D7CA4">
              <w:rPr>
                <w:rFonts w:asciiTheme="majorHAnsi" w:hAnsiTheme="majorHAnsi"/>
                <w:b/>
                <w:sz w:val="22"/>
                <w:szCs w:val="22"/>
              </w:rPr>
              <w:t>Cultural Property Preservation:</w:t>
            </w:r>
          </w:p>
          <w:p w14:paraId="1ECF1F63" w14:textId="65C714EA" w:rsidR="006809A1" w:rsidRPr="00CD7CA4" w:rsidRDefault="008359EE" w:rsidP="008F55F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State of </w:t>
            </w:r>
            <w:r w:rsidR="006809A1" w:rsidRPr="00CD7CA4">
              <w:rPr>
                <w:rFonts w:asciiTheme="majorHAnsi" w:hAnsiTheme="majorHAnsi"/>
                <w:b/>
                <w:sz w:val="22"/>
                <w:szCs w:val="22"/>
              </w:rPr>
              <w:t>NM 50% Tax Credit</w:t>
            </w:r>
          </w:p>
          <w:p w14:paraId="0AF3DB48" w14:textId="77777777" w:rsidR="006809A1" w:rsidRPr="00CD7CA4" w:rsidRDefault="006809A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830031E" w14:textId="77777777" w:rsidR="006809A1" w:rsidRPr="00CD7CA4" w:rsidRDefault="006809A1" w:rsidP="006809A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D7CA4">
              <w:rPr>
                <w:rFonts w:asciiTheme="majorHAnsi" w:hAnsiTheme="majorHAnsi"/>
                <w:sz w:val="22"/>
                <w:szCs w:val="22"/>
              </w:rPr>
              <w:t xml:space="preserve">NM Historic Preservation Division </w:t>
            </w:r>
            <w:r w:rsidRPr="003903EC">
              <w:rPr>
                <w:rFonts w:asciiTheme="majorHAnsi" w:hAnsiTheme="majorHAnsi"/>
                <w:sz w:val="22"/>
                <w:szCs w:val="22"/>
              </w:rPr>
              <w:t>(HPD)</w:t>
            </w:r>
          </w:p>
          <w:p w14:paraId="74F464F2" w14:textId="77777777" w:rsidR="006809A1" w:rsidRPr="00CD7CA4" w:rsidRDefault="006809A1" w:rsidP="006809A1">
            <w:pPr>
              <w:rPr>
                <w:rFonts w:asciiTheme="majorHAnsi" w:hAnsiTheme="majorHAnsi"/>
                <w:sz w:val="22"/>
                <w:szCs w:val="22"/>
              </w:rPr>
            </w:pPr>
            <w:r w:rsidRPr="00CD7CA4">
              <w:rPr>
                <w:rFonts w:asciiTheme="majorHAnsi" w:hAnsiTheme="majorHAnsi"/>
                <w:sz w:val="22"/>
                <w:szCs w:val="22"/>
              </w:rPr>
              <w:t>Tax Credit Programs: (505) 827-3971</w:t>
            </w:r>
          </w:p>
          <w:p w14:paraId="5ED189F4" w14:textId="77777777" w:rsidR="006809A1" w:rsidRPr="00CD7CA4" w:rsidRDefault="006809A1" w:rsidP="006809A1">
            <w:pPr>
              <w:pStyle w:val="normal0"/>
              <w:contextualSpacing w:val="0"/>
              <w:rPr>
                <w:rFonts w:asciiTheme="majorHAnsi" w:hAnsiTheme="majorHAnsi"/>
              </w:rPr>
            </w:pPr>
            <w:r w:rsidRPr="00CD7CA4">
              <w:rPr>
                <w:rFonts w:asciiTheme="majorHAnsi" w:hAnsiTheme="majorHAnsi"/>
              </w:rPr>
              <w:t>Harvey Kaplan</w:t>
            </w:r>
          </w:p>
          <w:p w14:paraId="27A6412A" w14:textId="77777777" w:rsidR="006809A1" w:rsidRPr="00CD7CA4" w:rsidRDefault="006809A1" w:rsidP="006809A1">
            <w:pPr>
              <w:pStyle w:val="normal0"/>
              <w:contextualSpacing w:val="0"/>
              <w:rPr>
                <w:rFonts w:asciiTheme="majorHAnsi" w:hAnsiTheme="majorHAnsi"/>
              </w:rPr>
            </w:pPr>
            <w:r w:rsidRPr="00CD7CA4">
              <w:rPr>
                <w:rFonts w:asciiTheme="majorHAnsi" w:hAnsiTheme="majorHAnsi"/>
              </w:rPr>
              <w:t>harvey.kaplan@state.nm.us</w:t>
            </w:r>
          </w:p>
          <w:p w14:paraId="301EB4D6" w14:textId="77777777" w:rsidR="006809A1" w:rsidRPr="00CD7CA4" w:rsidRDefault="006809A1" w:rsidP="006809A1">
            <w:pPr>
              <w:pStyle w:val="normal0"/>
              <w:contextualSpacing w:val="0"/>
              <w:rPr>
                <w:rFonts w:asciiTheme="majorHAnsi" w:hAnsiTheme="majorHAnsi"/>
              </w:rPr>
            </w:pPr>
            <w:r w:rsidRPr="00CD7CA4">
              <w:rPr>
                <w:rFonts w:asciiTheme="majorHAnsi" w:hAnsiTheme="majorHAnsi"/>
              </w:rPr>
              <w:t>http://nmhistoricpreservation.org/programs/tax-credits.html</w:t>
            </w:r>
          </w:p>
          <w:p w14:paraId="250C41A6" w14:textId="77777777" w:rsidR="006809A1" w:rsidRPr="00CD7CA4" w:rsidRDefault="006809A1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23F30DB" w14:textId="77777777" w:rsidR="006809A1" w:rsidRPr="00CD7CA4" w:rsidRDefault="006809A1" w:rsidP="006809A1">
            <w:pPr>
              <w:pStyle w:val="normal0"/>
              <w:contextualSpacing w:val="0"/>
              <w:rPr>
                <w:rFonts w:asciiTheme="majorHAnsi" w:hAnsiTheme="majorHAnsi"/>
              </w:rPr>
            </w:pPr>
            <w:r w:rsidRPr="00CD7CA4">
              <w:rPr>
                <w:rFonts w:asciiTheme="majorHAnsi" w:hAnsiTheme="majorHAnsi"/>
              </w:rPr>
              <w:t>State of New Mexico Taxation and Revenue Department</w:t>
            </w:r>
          </w:p>
          <w:p w14:paraId="2D421A33" w14:textId="77777777" w:rsidR="006809A1" w:rsidRPr="00CD7CA4" w:rsidRDefault="003903EC" w:rsidP="006809A1">
            <w:pPr>
              <w:rPr>
                <w:rFonts w:asciiTheme="majorHAnsi" w:hAnsiTheme="majorHAnsi"/>
                <w:sz w:val="22"/>
                <w:szCs w:val="22"/>
              </w:rPr>
            </w:pPr>
            <w:hyperlink r:id="rId8">
              <w:r w:rsidR="006809A1" w:rsidRPr="00CD7CA4">
                <w:rPr>
                  <w:rFonts w:asciiTheme="majorHAnsi" w:hAnsiTheme="majorHAnsi"/>
                  <w:color w:val="1155CC"/>
                  <w:sz w:val="22"/>
                  <w:szCs w:val="22"/>
                  <w:u w:val="single"/>
                </w:rPr>
                <w:t>http://www.tax.newmexico.gov/Tax-Professionals/conservation-preservation-tax-credits.aspx</w:t>
              </w:r>
            </w:hyperlink>
            <w:r w:rsidR="006809A1" w:rsidRPr="00CD7CA4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833" w:type="dxa"/>
          </w:tcPr>
          <w:p w14:paraId="17B92725" w14:textId="6851D133" w:rsidR="006809A1" w:rsidRPr="00CD7CA4" w:rsidRDefault="005E56C0" w:rsidP="006809A1">
            <w:pPr>
              <w:rPr>
                <w:rStyle w:val="st"/>
                <w:rFonts w:asciiTheme="majorHAnsi" w:eastAsia="Times New Roman" w:hAnsiTheme="majorHAnsi"/>
                <w:sz w:val="22"/>
                <w:szCs w:val="22"/>
              </w:rPr>
            </w:pPr>
            <w:r w:rsidRPr="00CD7CA4">
              <w:rPr>
                <w:rStyle w:val="st"/>
                <w:rFonts w:asciiTheme="majorHAnsi" w:eastAsia="Times New Roman" w:hAnsiTheme="majorHAnsi"/>
                <w:sz w:val="22"/>
                <w:szCs w:val="22"/>
              </w:rPr>
              <w:t>Your</w:t>
            </w:r>
            <w:r w:rsidR="006809A1" w:rsidRPr="00CD7CA4">
              <w:rPr>
                <w:rStyle w:val="st"/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6809A1" w:rsidRPr="00CD7CA4">
              <w:rPr>
                <w:rStyle w:val="Emphasis"/>
                <w:rFonts w:asciiTheme="majorHAnsi" w:eastAsia="Times New Roman" w:hAnsiTheme="majorHAnsi"/>
                <w:b/>
                <w:sz w:val="22"/>
                <w:szCs w:val="22"/>
              </w:rPr>
              <w:t>tax credit</w:t>
            </w:r>
            <w:r w:rsidRPr="00CD7CA4">
              <w:rPr>
                <w:rStyle w:val="st"/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  <w:r w:rsidR="006809A1" w:rsidRPr="00CD7CA4">
              <w:rPr>
                <w:rStyle w:val="st"/>
                <w:rFonts w:asciiTheme="majorHAnsi" w:eastAsia="Times New Roman" w:hAnsiTheme="majorHAnsi"/>
                <w:sz w:val="22"/>
                <w:szCs w:val="22"/>
              </w:rPr>
              <w:t>amount</w:t>
            </w:r>
            <w:r w:rsidRPr="00CD7CA4">
              <w:rPr>
                <w:rStyle w:val="st"/>
                <w:rFonts w:asciiTheme="majorHAnsi" w:eastAsia="Times New Roman" w:hAnsiTheme="majorHAnsi"/>
                <w:sz w:val="22"/>
                <w:szCs w:val="22"/>
              </w:rPr>
              <w:t xml:space="preserve"> is subtracted from NM state income taxes</w:t>
            </w:r>
            <w:r w:rsidR="006809A1" w:rsidRPr="00CD7CA4">
              <w:rPr>
                <w:rStyle w:val="st"/>
                <w:rFonts w:asciiTheme="majorHAnsi" w:eastAsia="Times New Roman" w:hAnsiTheme="majorHAnsi"/>
                <w:sz w:val="22"/>
                <w:szCs w:val="22"/>
              </w:rPr>
              <w:t xml:space="preserve"> owe</w:t>
            </w:r>
            <w:r w:rsidRPr="00CD7CA4">
              <w:rPr>
                <w:rStyle w:val="st"/>
                <w:rFonts w:asciiTheme="majorHAnsi" w:eastAsia="Times New Roman" w:hAnsiTheme="majorHAnsi"/>
                <w:sz w:val="22"/>
                <w:szCs w:val="22"/>
              </w:rPr>
              <w:t xml:space="preserve">d. </w:t>
            </w: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The credit is applied in the year the project is completed and the balance may be carried forward fo</w:t>
            </w:r>
            <w:r w:rsidR="00780DE7"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 an</w:t>
            </w: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additional</w:t>
            </w:r>
            <w:r w:rsidR="00780DE7"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4</w:t>
            </w: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years.</w:t>
            </w:r>
            <w:r w:rsidR="006809A1" w:rsidRPr="00CD7CA4">
              <w:rPr>
                <w:rStyle w:val="st"/>
                <w:rFonts w:asciiTheme="majorHAnsi" w:eastAsia="Times New Roman" w:hAnsiTheme="majorHAnsi"/>
                <w:sz w:val="22"/>
                <w:szCs w:val="22"/>
              </w:rPr>
              <w:t xml:space="preserve"> </w:t>
            </w:r>
          </w:p>
          <w:p w14:paraId="2B893CE1" w14:textId="77777777" w:rsidR="005E56C0" w:rsidRPr="00CD7CA4" w:rsidRDefault="005E56C0" w:rsidP="006809A1">
            <w:pPr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  <w:p w14:paraId="6E85EBC4" w14:textId="4CB010B6" w:rsidR="005E56C0" w:rsidRPr="00CD7CA4" w:rsidRDefault="005E56C0" w:rsidP="005E56C0">
            <w:pPr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50% of eligible costs of the approved rehabilitation</w:t>
            </w:r>
            <w:r w:rsidR="00780DE7"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can receive a maximum credit </w:t>
            </w: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of </w:t>
            </w:r>
            <w:r w:rsidRPr="00CD7CA4">
              <w:rPr>
                <w:rFonts w:asciiTheme="majorHAnsi" w:hAnsiTheme="majorHAnsi" w:cs="Times New Roman"/>
                <w:b/>
                <w:color w:val="000000"/>
                <w:sz w:val="22"/>
                <w:szCs w:val="22"/>
              </w:rPr>
              <w:t>$25,000 for up to 5 years of tax liability</w:t>
            </w:r>
            <w:r w:rsidR="003F16B3"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</w:p>
          <w:p w14:paraId="3A87F843" w14:textId="77777777" w:rsidR="005E56C0" w:rsidRPr="00CD7CA4" w:rsidRDefault="005E56C0" w:rsidP="005E56C0">
            <w:pPr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  <w:p w14:paraId="5BF3EBCB" w14:textId="6C073717" w:rsidR="005E56C0" w:rsidRPr="00CD7CA4" w:rsidRDefault="005E56C0" w:rsidP="005E56C0">
            <w:pPr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*For a </w:t>
            </w:r>
            <w:r w:rsidRPr="003903EC">
              <w:rPr>
                <w:rFonts w:asciiTheme="majorHAnsi" w:hAnsiTheme="majorHAnsi" w:cs="Times New Roman"/>
                <w:b/>
                <w:color w:val="000000"/>
                <w:sz w:val="22"/>
                <w:szCs w:val="22"/>
              </w:rPr>
              <w:t>listed</w:t>
            </w: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building in a state certified Arts &amp; Cultural District, </w:t>
            </w:r>
            <w:r w:rsidR="00780DE7"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the maximum in eligible expenses is $100,00</w:t>
            </w:r>
            <w:r w:rsidR="008359EE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0 for a 50% tax credit maximum </w:t>
            </w:r>
            <w:r w:rsidR="00780DE7"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of $50,000</w:t>
            </w:r>
          </w:p>
        </w:tc>
        <w:tc>
          <w:tcPr>
            <w:tcW w:w="4475" w:type="dxa"/>
          </w:tcPr>
          <w:p w14:paraId="1124CEBA" w14:textId="77777777" w:rsidR="008F55FE" w:rsidRPr="00CD7CA4" w:rsidRDefault="00FA01C7" w:rsidP="008F55F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 Roman"/>
                <w:color w:val="000000"/>
                <w:sz w:val="22"/>
                <w:szCs w:val="22"/>
              </w:rPr>
            </w:pP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Own or lease a </w:t>
            </w:r>
            <w:r w:rsidR="00796370"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commercial or residential </w:t>
            </w: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property that is</w:t>
            </w:r>
            <w:r w:rsidRPr="00CD7CA4">
              <w:rPr>
                <w:rFonts w:asciiTheme="majorHAnsi" w:hAnsiTheme="majorHAnsi" w:cs="Times New Roman"/>
                <w:b/>
                <w:color w:val="000000"/>
                <w:sz w:val="22"/>
                <w:szCs w:val="22"/>
              </w:rPr>
              <w:t xml:space="preserve"> listed on the State Register of Cultural Properties, or is designated as a contributing property to a historic district that is listed in the Register.</w:t>
            </w: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Pr="00CD7CA4">
              <w:rPr>
                <w:rFonts w:asciiTheme="majorHAnsi" w:hAnsiTheme="majorHAnsi" w:cs="Times Roman"/>
                <w:color w:val="000000"/>
                <w:sz w:val="22"/>
                <w:szCs w:val="22"/>
              </w:rPr>
              <w:t> </w:t>
            </w:r>
          </w:p>
          <w:p w14:paraId="3C26E5B6" w14:textId="27A31206" w:rsidR="008F55FE" w:rsidRPr="00CD7CA4" w:rsidRDefault="00796370" w:rsidP="008F55F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 Roman"/>
                <w:color w:val="000000"/>
                <w:sz w:val="22"/>
                <w:szCs w:val="22"/>
              </w:rPr>
            </w:pP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</w:t>
            </w:r>
            <w:r w:rsidR="00FA01C7"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ligible </w:t>
            </w: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costs </w:t>
            </w:r>
            <w:r w:rsidR="00FA01C7"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for credit</w:t>
            </w: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include roofing</w:t>
            </w:r>
            <w:r w:rsidR="003F16B3"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(new/repair</w:t>
            </w:r>
            <w:r w:rsidR="00303A2D"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)</w:t>
            </w: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, eaves &amp; fascia, </w:t>
            </w:r>
            <w:r w:rsidR="00FA01C7"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woodw</w:t>
            </w: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ork, stabilizing foundation &amp; </w:t>
            </w:r>
            <w:r w:rsidR="00FA01C7"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structural elements, repairing </w:t>
            </w: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windows, restoring interior</w:t>
            </w:r>
            <w:r w:rsidR="00303A2D"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&amp; exterior finishes, repairing/</w:t>
            </w:r>
            <w:r w:rsidR="00FA01C7"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replacing ut</w:t>
            </w: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ility services to conform to </w:t>
            </w:r>
            <w:r w:rsidR="00FA01C7"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code requirements. </w:t>
            </w:r>
            <w:r w:rsidR="00FA01C7" w:rsidRPr="00CD7CA4">
              <w:rPr>
                <w:rFonts w:asciiTheme="majorHAnsi" w:hAnsiTheme="majorHAnsi" w:cs="Times Roman"/>
                <w:color w:val="000000"/>
                <w:sz w:val="22"/>
                <w:szCs w:val="22"/>
              </w:rPr>
              <w:t> </w:t>
            </w:r>
          </w:p>
          <w:p w14:paraId="5E8AE8D0" w14:textId="1250F58D" w:rsidR="00FA01C7" w:rsidRPr="00CD7CA4" w:rsidRDefault="00115955" w:rsidP="00303A2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 Roman"/>
                <w:color w:val="000000"/>
                <w:sz w:val="22"/>
                <w:szCs w:val="22"/>
              </w:rPr>
            </w:pP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Rehabilitation w</w:t>
            </w:r>
            <w:r w:rsidR="00303A2D"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ork must conform</w:t>
            </w:r>
            <w:r w:rsidR="00FA01C7"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to the Secretary of the Interior's Standards for Rehabi</w:t>
            </w:r>
            <w:r w:rsidR="00303A2D"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litation</w:t>
            </w:r>
            <w:r w:rsidR="008F55FE"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:</w:t>
            </w:r>
          </w:p>
          <w:p w14:paraId="07DD4E89" w14:textId="77777777" w:rsidR="008F55FE" w:rsidRPr="00CD7CA4" w:rsidRDefault="008F55FE" w:rsidP="008F55F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 Roman"/>
                <w:color w:val="000000"/>
                <w:sz w:val="22"/>
                <w:szCs w:val="22"/>
              </w:rPr>
            </w:pPr>
            <w:proofErr w:type="gramStart"/>
            <w:r w:rsidRPr="00CD7CA4">
              <w:rPr>
                <w:rFonts w:asciiTheme="majorHAnsi" w:hAnsiTheme="majorHAnsi" w:cs="Times Roman"/>
                <w:color w:val="000000"/>
                <w:sz w:val="22"/>
                <w:szCs w:val="22"/>
              </w:rPr>
              <w:t>www.nps.gov</w:t>
            </w:r>
            <w:proofErr w:type="gramEnd"/>
            <w:r w:rsidRPr="00CD7CA4">
              <w:rPr>
                <w:rFonts w:asciiTheme="majorHAnsi" w:hAnsiTheme="majorHAnsi" w:cs="Times Roman"/>
                <w:color w:val="000000"/>
                <w:sz w:val="22"/>
                <w:szCs w:val="22"/>
              </w:rPr>
              <w:t>/tps/standards/rehabilitation.htm</w:t>
            </w:r>
          </w:p>
          <w:p w14:paraId="7E0A2AA2" w14:textId="77777777" w:rsidR="00303A2D" w:rsidRPr="00CD7CA4" w:rsidRDefault="00303A2D" w:rsidP="00FA01C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  <w:p w14:paraId="5304E676" w14:textId="77777777" w:rsidR="00303A2D" w:rsidRPr="00CD7CA4" w:rsidRDefault="00303A2D" w:rsidP="00FA01C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 Roman"/>
                <w:color w:val="000000"/>
                <w:sz w:val="22"/>
                <w:szCs w:val="22"/>
              </w:rPr>
            </w:pPr>
          </w:p>
          <w:p w14:paraId="51B63E39" w14:textId="5D451D9F" w:rsidR="00FA01C7" w:rsidRPr="00CD7CA4" w:rsidRDefault="00FA01C7" w:rsidP="00FA01C7">
            <w:pPr>
              <w:widowControl w:val="0"/>
              <w:numPr>
                <w:ilvl w:val="0"/>
                <w:numId w:val="1"/>
              </w:numPr>
              <w:tabs>
                <w:tab w:val="left" w:pos="-95"/>
                <w:tab w:val="left" w:pos="220"/>
              </w:tabs>
              <w:autoSpaceDE w:val="0"/>
              <w:autoSpaceDN w:val="0"/>
              <w:adjustRightInd w:val="0"/>
              <w:spacing w:after="240" w:line="360" w:lineRule="atLeast"/>
              <w:ind w:left="-95" w:hanging="720"/>
              <w:rPr>
                <w:rFonts w:asciiTheme="majorHAnsi" w:hAnsiTheme="majorHAnsi"/>
                <w:sz w:val="22"/>
                <w:szCs w:val="22"/>
              </w:rPr>
            </w:pPr>
          </w:p>
          <w:p w14:paraId="37A9BFB6" w14:textId="1D8965B5" w:rsidR="006809A1" w:rsidRPr="00CD7CA4" w:rsidRDefault="006809A1" w:rsidP="00FA01C7">
            <w:pPr>
              <w:tabs>
                <w:tab w:val="left" w:pos="-95"/>
              </w:tabs>
              <w:ind w:left="-95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01" w:type="dxa"/>
          </w:tcPr>
          <w:p w14:paraId="281ED3AE" w14:textId="6E6707E0" w:rsidR="003F16B3" w:rsidRPr="00CD7CA4" w:rsidRDefault="003F16B3" w:rsidP="003F16B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The property may be a personal residence or a commercial income-producing property.</w:t>
            </w:r>
          </w:p>
          <w:p w14:paraId="3A4762EE" w14:textId="77777777" w:rsidR="003F16B3" w:rsidRPr="00CD7CA4" w:rsidRDefault="003F16B3" w:rsidP="003F16B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Property must be individually listed in, or designated as contributing to, a historic district listed in the State Register of Cultural Properties.</w:t>
            </w:r>
          </w:p>
          <w:p w14:paraId="25734A05" w14:textId="23C39958" w:rsidR="00153A1F" w:rsidRPr="003903EC" w:rsidRDefault="00153A1F" w:rsidP="00153A1F">
            <w:pPr>
              <w:pStyle w:val="BodyText"/>
              <w:rPr>
                <w:rFonts w:asciiTheme="majorHAnsi" w:hAnsiTheme="majorHAnsi" w:cs="Arial"/>
                <w:b/>
                <w:szCs w:val="22"/>
              </w:rPr>
            </w:pPr>
            <w:r w:rsidRPr="00CD7CA4">
              <w:rPr>
                <w:rFonts w:asciiTheme="majorHAnsi" w:hAnsiTheme="majorHAnsi" w:cs="Arial"/>
                <w:color w:val="000000"/>
                <w:szCs w:val="22"/>
              </w:rPr>
              <w:t xml:space="preserve">To list property in the </w:t>
            </w:r>
            <w:r w:rsidRPr="00CD7CA4">
              <w:rPr>
                <w:rFonts w:asciiTheme="majorHAnsi" w:hAnsiTheme="majorHAnsi" w:cs="Arial"/>
                <w:i/>
                <w:iCs/>
                <w:szCs w:val="22"/>
              </w:rPr>
              <w:t>State Register of Cultural Properties (State Register) or the National Register of Historic Places (National Register</w:t>
            </w:r>
            <w:r w:rsidRPr="00CD7CA4">
              <w:rPr>
                <w:rFonts w:asciiTheme="majorHAnsi" w:hAnsiTheme="majorHAnsi" w:cs="Arial"/>
                <w:szCs w:val="22"/>
              </w:rPr>
              <w:t xml:space="preserve">) </w:t>
            </w:r>
            <w:r w:rsidRPr="00CD7CA4">
              <w:rPr>
                <w:rFonts w:asciiTheme="majorHAnsi" w:hAnsiTheme="majorHAnsi" w:cs="Arial"/>
                <w:color w:val="000000"/>
                <w:szCs w:val="22"/>
              </w:rPr>
              <w:t xml:space="preserve">contact Steven </w:t>
            </w:r>
            <w:proofErr w:type="spellStart"/>
            <w:r w:rsidRPr="00CD7CA4">
              <w:rPr>
                <w:rFonts w:asciiTheme="majorHAnsi" w:hAnsiTheme="majorHAnsi" w:cs="Arial"/>
                <w:color w:val="000000"/>
                <w:szCs w:val="22"/>
              </w:rPr>
              <w:t>Moffson</w:t>
            </w:r>
            <w:proofErr w:type="spellEnd"/>
            <w:r w:rsidRPr="00CD7CA4">
              <w:rPr>
                <w:rFonts w:asciiTheme="majorHAnsi" w:hAnsiTheme="majorHAnsi" w:cs="Arial"/>
                <w:color w:val="000000"/>
                <w:szCs w:val="22"/>
              </w:rPr>
              <w:t>, State and National Register Coordinator (</w:t>
            </w:r>
            <w:hyperlink r:id="rId9" w:history="1">
              <w:r w:rsidRPr="00CD7CA4">
                <w:rPr>
                  <w:rStyle w:val="Hyperlink"/>
                  <w:rFonts w:asciiTheme="majorHAnsi" w:hAnsiTheme="majorHAnsi" w:cs="Arial"/>
                  <w:color w:val="1155CC"/>
                  <w:szCs w:val="22"/>
                </w:rPr>
                <w:t>steven.moffson@state.nm.us</w:t>
              </w:r>
            </w:hyperlink>
            <w:r w:rsidRPr="00CD7CA4">
              <w:rPr>
                <w:rFonts w:asciiTheme="majorHAnsi" w:hAnsiTheme="majorHAnsi" w:cs="Arial"/>
                <w:color w:val="000000"/>
                <w:szCs w:val="22"/>
              </w:rPr>
              <w:t xml:space="preserve">) and submit to him the </w:t>
            </w:r>
            <w:r w:rsidRPr="003903EC">
              <w:rPr>
                <w:rFonts w:asciiTheme="majorHAnsi" w:hAnsiTheme="majorHAnsi" w:cs="Arial"/>
                <w:b/>
                <w:szCs w:val="22"/>
              </w:rPr>
              <w:t>State and National Register Preliminary Questionnaire</w:t>
            </w:r>
            <w:r w:rsidR="003903EC">
              <w:rPr>
                <w:rFonts w:asciiTheme="majorHAnsi" w:hAnsiTheme="majorHAnsi" w:cs="Arial"/>
                <w:b/>
                <w:szCs w:val="22"/>
              </w:rPr>
              <w:t>.</w:t>
            </w:r>
          </w:p>
          <w:p w14:paraId="52EB5A16" w14:textId="21420208" w:rsidR="00153A1F" w:rsidRPr="00CD7CA4" w:rsidRDefault="00153A1F" w:rsidP="00153A1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57F2663E" w14:textId="77777777" w:rsidR="00153A1F" w:rsidRPr="00CD7CA4" w:rsidRDefault="00153A1F" w:rsidP="00153A1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 Roman"/>
                <w:color w:val="000000"/>
                <w:sz w:val="22"/>
                <w:szCs w:val="22"/>
              </w:rPr>
            </w:pP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The State Cultural Properties Review Committee (CPRC) must approve the proposed rehabilitation work prior to the beginning of the project. </w:t>
            </w:r>
            <w:r w:rsidRPr="00CD7CA4">
              <w:rPr>
                <w:rFonts w:asciiTheme="majorHAnsi" w:hAnsiTheme="majorHAnsi" w:cs="Times Roman"/>
                <w:color w:val="000000"/>
                <w:sz w:val="22"/>
                <w:szCs w:val="22"/>
              </w:rPr>
              <w:t> </w:t>
            </w:r>
          </w:p>
          <w:p w14:paraId="7C54B00A" w14:textId="77777777" w:rsidR="00153A1F" w:rsidRPr="00CD7CA4" w:rsidRDefault="00153A1F" w:rsidP="00153A1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  <w:p w14:paraId="40D9171D" w14:textId="77777777" w:rsidR="003F16B3" w:rsidRPr="00CD7CA4" w:rsidRDefault="003F16B3" w:rsidP="003F16B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</w:p>
          <w:p w14:paraId="062C715A" w14:textId="3DE5AC5A" w:rsidR="006809A1" w:rsidRPr="00CD7CA4" w:rsidRDefault="003F16B3" w:rsidP="00153A1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 Roman"/>
                <w:color w:val="000000"/>
                <w:sz w:val="22"/>
                <w:szCs w:val="22"/>
              </w:rPr>
            </w:pP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153A1F" w:rsidRPr="00CD7CA4" w14:paraId="40681E48" w14:textId="77777777" w:rsidTr="00153A1F">
        <w:tc>
          <w:tcPr>
            <w:tcW w:w="4631" w:type="dxa"/>
          </w:tcPr>
          <w:p w14:paraId="37D26C0C" w14:textId="77777777" w:rsidR="00153A1F" w:rsidRPr="00CD7CA4" w:rsidRDefault="00153A1F" w:rsidP="00153A1F">
            <w:pPr>
              <w:rPr>
                <w:rFonts w:asciiTheme="majorHAnsi" w:hAnsiTheme="majorHAnsi"/>
                <w:sz w:val="22"/>
                <w:szCs w:val="22"/>
              </w:rPr>
            </w:pPr>
            <w:r w:rsidRPr="00CD7CA4">
              <w:rPr>
                <w:rFonts w:asciiTheme="majorHAnsi" w:hAnsiTheme="majorHAnsi"/>
                <w:sz w:val="22"/>
                <w:szCs w:val="22"/>
              </w:rPr>
              <w:lastRenderedPageBreak/>
              <w:t>PROGRAM</w:t>
            </w:r>
          </w:p>
          <w:p w14:paraId="4E9E0BEE" w14:textId="1E87D2EA" w:rsidR="00153A1F" w:rsidRPr="00CD7CA4" w:rsidRDefault="00153A1F">
            <w:pPr>
              <w:rPr>
                <w:rFonts w:asciiTheme="majorHAnsi" w:hAnsiTheme="majorHAnsi"/>
                <w:sz w:val="22"/>
                <w:szCs w:val="22"/>
              </w:rPr>
            </w:pPr>
            <w:r w:rsidRPr="00CD7CA4">
              <w:rPr>
                <w:rFonts w:asciiTheme="majorHAnsi" w:hAnsiTheme="majorHAnsi"/>
                <w:sz w:val="22"/>
                <w:szCs w:val="22"/>
              </w:rPr>
              <w:t>AGENCY / CONTACT</w:t>
            </w:r>
          </w:p>
        </w:tc>
        <w:tc>
          <w:tcPr>
            <w:tcW w:w="1833" w:type="dxa"/>
          </w:tcPr>
          <w:p w14:paraId="203C92E3" w14:textId="5BB32A95" w:rsidR="00153A1F" w:rsidRPr="00CD7CA4" w:rsidRDefault="00153A1F">
            <w:pPr>
              <w:rPr>
                <w:rFonts w:asciiTheme="majorHAnsi" w:hAnsiTheme="majorHAnsi"/>
                <w:sz w:val="22"/>
                <w:szCs w:val="22"/>
              </w:rPr>
            </w:pPr>
            <w:r w:rsidRPr="00CD7CA4">
              <w:rPr>
                <w:rFonts w:asciiTheme="majorHAnsi" w:hAnsiTheme="majorHAnsi"/>
                <w:sz w:val="22"/>
                <w:szCs w:val="22"/>
              </w:rPr>
              <w:t>DESCRIPTION</w:t>
            </w:r>
          </w:p>
        </w:tc>
        <w:tc>
          <w:tcPr>
            <w:tcW w:w="4475" w:type="dxa"/>
          </w:tcPr>
          <w:p w14:paraId="4EDBD7BE" w14:textId="03756C3A" w:rsidR="00153A1F" w:rsidRPr="00CD7CA4" w:rsidRDefault="00153A1F" w:rsidP="00FA01C7">
            <w:pPr>
              <w:tabs>
                <w:tab w:val="left" w:pos="-95"/>
              </w:tabs>
              <w:rPr>
                <w:rFonts w:asciiTheme="majorHAnsi" w:hAnsiTheme="majorHAnsi"/>
                <w:sz w:val="22"/>
                <w:szCs w:val="22"/>
              </w:rPr>
            </w:pPr>
            <w:r w:rsidRPr="00CD7CA4">
              <w:rPr>
                <w:rFonts w:asciiTheme="majorHAnsi" w:hAnsiTheme="majorHAnsi"/>
                <w:sz w:val="22"/>
                <w:szCs w:val="22"/>
              </w:rPr>
              <w:t>ELIGIBILITY</w:t>
            </w:r>
          </w:p>
        </w:tc>
        <w:tc>
          <w:tcPr>
            <w:tcW w:w="3101" w:type="dxa"/>
          </w:tcPr>
          <w:p w14:paraId="4AC5953B" w14:textId="77777777" w:rsidR="00153A1F" w:rsidRPr="00CD7CA4" w:rsidRDefault="00153A1F" w:rsidP="00153A1F">
            <w:pPr>
              <w:rPr>
                <w:rFonts w:asciiTheme="majorHAnsi" w:hAnsiTheme="majorHAnsi"/>
                <w:sz w:val="22"/>
                <w:szCs w:val="22"/>
              </w:rPr>
            </w:pPr>
            <w:r w:rsidRPr="00CD7CA4">
              <w:rPr>
                <w:rFonts w:asciiTheme="majorHAnsi" w:hAnsiTheme="majorHAnsi"/>
                <w:sz w:val="22"/>
                <w:szCs w:val="22"/>
              </w:rPr>
              <w:t>QUALIFICATIONS</w:t>
            </w:r>
          </w:p>
          <w:p w14:paraId="62F08696" w14:textId="18FAE010" w:rsidR="00153A1F" w:rsidRPr="00CD7CA4" w:rsidRDefault="00153A1F">
            <w:pPr>
              <w:rPr>
                <w:rFonts w:asciiTheme="majorHAnsi" w:hAnsiTheme="majorHAnsi"/>
                <w:sz w:val="22"/>
                <w:szCs w:val="22"/>
              </w:rPr>
            </w:pPr>
            <w:r w:rsidRPr="00CD7CA4">
              <w:rPr>
                <w:rFonts w:asciiTheme="majorHAnsi" w:hAnsiTheme="majorHAnsi"/>
                <w:sz w:val="22"/>
                <w:szCs w:val="22"/>
              </w:rPr>
              <w:t>CRITERIA</w:t>
            </w:r>
          </w:p>
        </w:tc>
      </w:tr>
      <w:tr w:rsidR="006809A1" w:rsidRPr="00CD7CA4" w14:paraId="63AED994" w14:textId="77777777" w:rsidTr="00153A1F">
        <w:tc>
          <w:tcPr>
            <w:tcW w:w="4631" w:type="dxa"/>
          </w:tcPr>
          <w:p w14:paraId="0CA3A19B" w14:textId="31C294D6" w:rsidR="00115955" w:rsidRPr="00CD7CA4" w:rsidRDefault="00115955" w:rsidP="00166B09">
            <w:pPr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CD7CA4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Federal </w:t>
            </w:r>
            <w:r w:rsidR="00A56444" w:rsidRPr="00CD7CA4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20% </w:t>
            </w:r>
            <w:r w:rsidRPr="00CD7CA4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Rehabilitation Tax Credit</w:t>
            </w:r>
          </w:p>
          <w:p w14:paraId="389A49A4" w14:textId="77777777" w:rsidR="00166B09" w:rsidRPr="00CD7CA4" w:rsidRDefault="00166B09" w:rsidP="00166B09">
            <w:pPr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012ADFE4" w14:textId="77777777" w:rsidR="00115955" w:rsidRPr="00CD7CA4" w:rsidRDefault="00115955" w:rsidP="0011595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D7CA4">
              <w:rPr>
                <w:rFonts w:asciiTheme="majorHAnsi" w:hAnsiTheme="majorHAnsi"/>
                <w:sz w:val="22"/>
                <w:szCs w:val="22"/>
              </w:rPr>
              <w:t>NM Historic Preservation Division (</w:t>
            </w:r>
            <w:r w:rsidRPr="00CD7CA4">
              <w:rPr>
                <w:rFonts w:asciiTheme="majorHAnsi" w:hAnsiTheme="majorHAnsi"/>
                <w:b/>
                <w:sz w:val="22"/>
                <w:szCs w:val="22"/>
              </w:rPr>
              <w:t>HPD)</w:t>
            </w:r>
          </w:p>
          <w:p w14:paraId="64DBD550" w14:textId="77777777" w:rsidR="00115955" w:rsidRPr="00CD7CA4" w:rsidRDefault="00115955" w:rsidP="00115955">
            <w:pPr>
              <w:rPr>
                <w:rFonts w:asciiTheme="majorHAnsi" w:hAnsiTheme="majorHAnsi"/>
                <w:sz w:val="22"/>
                <w:szCs w:val="22"/>
              </w:rPr>
            </w:pPr>
            <w:r w:rsidRPr="00CD7CA4">
              <w:rPr>
                <w:rFonts w:asciiTheme="majorHAnsi" w:hAnsiTheme="majorHAnsi"/>
                <w:sz w:val="22"/>
                <w:szCs w:val="22"/>
              </w:rPr>
              <w:t>Tax Credit Programs: (505) 827-3971</w:t>
            </w:r>
          </w:p>
          <w:p w14:paraId="609353B3" w14:textId="77777777" w:rsidR="00115955" w:rsidRPr="00CD7CA4" w:rsidRDefault="00115955" w:rsidP="00115955">
            <w:pPr>
              <w:pStyle w:val="normal0"/>
              <w:contextualSpacing w:val="0"/>
              <w:rPr>
                <w:rFonts w:asciiTheme="majorHAnsi" w:hAnsiTheme="majorHAnsi"/>
              </w:rPr>
            </w:pPr>
            <w:r w:rsidRPr="00CD7CA4">
              <w:rPr>
                <w:rFonts w:asciiTheme="majorHAnsi" w:hAnsiTheme="majorHAnsi"/>
              </w:rPr>
              <w:t>Harvey Kaplan</w:t>
            </w:r>
          </w:p>
          <w:p w14:paraId="0EFEE614" w14:textId="77777777" w:rsidR="00115955" w:rsidRPr="00CD7CA4" w:rsidRDefault="00115955" w:rsidP="00115955">
            <w:pPr>
              <w:pStyle w:val="normal0"/>
              <w:contextualSpacing w:val="0"/>
              <w:rPr>
                <w:rFonts w:asciiTheme="majorHAnsi" w:hAnsiTheme="majorHAnsi"/>
              </w:rPr>
            </w:pPr>
            <w:r w:rsidRPr="00CD7CA4">
              <w:rPr>
                <w:rFonts w:asciiTheme="majorHAnsi" w:hAnsiTheme="majorHAnsi"/>
              </w:rPr>
              <w:t>harvey.kaplan@state.nm.us</w:t>
            </w:r>
          </w:p>
          <w:p w14:paraId="63CD3DE4" w14:textId="77777777" w:rsidR="00115955" w:rsidRPr="00CD7CA4" w:rsidRDefault="00115955" w:rsidP="00115955">
            <w:pPr>
              <w:pStyle w:val="normal0"/>
              <w:contextualSpacing w:val="0"/>
              <w:rPr>
                <w:rFonts w:asciiTheme="majorHAnsi" w:hAnsiTheme="majorHAnsi"/>
              </w:rPr>
            </w:pPr>
            <w:r w:rsidRPr="00CD7CA4">
              <w:rPr>
                <w:rFonts w:asciiTheme="majorHAnsi" w:hAnsiTheme="majorHAnsi"/>
              </w:rPr>
              <w:t>http://nmhistoricpreservation.org/programs/tax-credits.html</w:t>
            </w:r>
          </w:p>
          <w:p w14:paraId="4D021988" w14:textId="77777777" w:rsidR="00115955" w:rsidRPr="00CD7CA4" w:rsidRDefault="00115955" w:rsidP="00115955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14:paraId="649A5BA2" w14:textId="77777777" w:rsidR="00115955" w:rsidRPr="00CD7CA4" w:rsidRDefault="00166B09" w:rsidP="00115955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D7CA4">
              <w:rPr>
                <w:rFonts w:asciiTheme="majorHAnsi" w:hAnsiTheme="majorHAnsi" w:cs="Tahoma"/>
                <w:b/>
                <w:sz w:val="22"/>
                <w:szCs w:val="22"/>
              </w:rPr>
              <w:t>National Park Service</w:t>
            </w:r>
          </w:p>
          <w:p w14:paraId="7AD2A3CA" w14:textId="77B6BDBF" w:rsidR="00166B09" w:rsidRPr="00CD7CA4" w:rsidRDefault="00166B09" w:rsidP="00115955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CD7CA4">
              <w:rPr>
                <w:rFonts w:asciiTheme="majorHAnsi" w:hAnsiTheme="majorHAnsi" w:cs="Tahoma"/>
                <w:sz w:val="22"/>
                <w:szCs w:val="22"/>
              </w:rPr>
              <w:t>https://www.nps.gov/tps/tax-incentives.htm</w:t>
            </w:r>
          </w:p>
          <w:p w14:paraId="755E784F" w14:textId="53CC4F9C" w:rsidR="006809A1" w:rsidRPr="00CD7CA4" w:rsidRDefault="006809A1" w:rsidP="0011595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33" w:type="dxa"/>
          </w:tcPr>
          <w:p w14:paraId="443A6BD4" w14:textId="5AEB8A80" w:rsidR="006809A1" w:rsidRPr="00CD7CA4" w:rsidRDefault="00115955">
            <w:pPr>
              <w:rPr>
                <w:rFonts w:asciiTheme="majorHAnsi" w:hAnsiTheme="majorHAnsi"/>
                <w:sz w:val="22"/>
                <w:szCs w:val="22"/>
              </w:rPr>
            </w:pPr>
            <w:r w:rsidRPr="00CD7CA4">
              <w:rPr>
                <w:rFonts w:asciiTheme="majorHAnsi" w:hAnsiTheme="majorHAnsi" w:cs="Tahoma"/>
                <w:sz w:val="22"/>
                <w:szCs w:val="22"/>
              </w:rPr>
              <w:t xml:space="preserve">Federal income tax credit of 20% of the eligible costs of rehabilitation work.  </w:t>
            </w:r>
            <w:bookmarkStart w:id="0" w:name="_GoBack"/>
            <w:r w:rsidRPr="003903EC">
              <w:rPr>
                <w:rFonts w:asciiTheme="majorHAnsi" w:hAnsiTheme="majorHAnsi" w:cs="Tahoma"/>
                <w:b/>
                <w:sz w:val="22"/>
                <w:szCs w:val="22"/>
              </w:rPr>
              <w:t>Project must be an income-producing property, not personal residence.</w:t>
            </w:r>
            <w:r w:rsidRPr="00CD7CA4">
              <w:rPr>
                <w:rFonts w:asciiTheme="majorHAnsi" w:hAnsiTheme="majorHAnsi" w:cs="Tahoma"/>
                <w:sz w:val="22"/>
                <w:szCs w:val="22"/>
              </w:rPr>
              <w:t xml:space="preserve">  </w:t>
            </w:r>
            <w:bookmarkEnd w:id="0"/>
            <w:r w:rsidRPr="00CD7CA4">
              <w:rPr>
                <w:rFonts w:asciiTheme="majorHAnsi" w:hAnsiTheme="majorHAnsi" w:cs="Tahoma"/>
                <w:sz w:val="22"/>
                <w:szCs w:val="22"/>
              </w:rPr>
              <w:t xml:space="preserve">Participation in the federal program is initiated with the State Historic Preservation Division (HPD) in Santa Fe.  </w:t>
            </w:r>
          </w:p>
        </w:tc>
        <w:tc>
          <w:tcPr>
            <w:tcW w:w="4475" w:type="dxa"/>
          </w:tcPr>
          <w:p w14:paraId="345E0180" w14:textId="26BBE4B7" w:rsidR="00115955" w:rsidRPr="00CD7CA4" w:rsidRDefault="00115955" w:rsidP="00115955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CD7CA4">
              <w:rPr>
                <w:rFonts w:asciiTheme="majorHAnsi" w:hAnsiTheme="majorHAnsi" w:cs="Tahoma"/>
                <w:sz w:val="22"/>
                <w:szCs w:val="22"/>
              </w:rPr>
              <w:t xml:space="preserve">Eligible </w:t>
            </w:r>
            <w:r w:rsidR="00293A48" w:rsidRPr="00CD7CA4">
              <w:rPr>
                <w:rFonts w:asciiTheme="majorHAnsi" w:hAnsiTheme="majorHAnsi" w:cs="Tahoma"/>
                <w:sz w:val="22"/>
                <w:szCs w:val="22"/>
              </w:rPr>
              <w:t>reh</w:t>
            </w:r>
            <w:r w:rsidR="003903EC">
              <w:rPr>
                <w:rFonts w:asciiTheme="majorHAnsi" w:hAnsiTheme="majorHAnsi" w:cs="Tahoma"/>
                <w:sz w:val="22"/>
                <w:szCs w:val="22"/>
              </w:rPr>
              <w:t xml:space="preserve">abilitation expenses must be at least equal to </w:t>
            </w:r>
            <w:r w:rsidRPr="00CD7CA4">
              <w:rPr>
                <w:rFonts w:asciiTheme="majorHAnsi" w:hAnsiTheme="majorHAnsi" w:cs="Tahoma"/>
                <w:sz w:val="22"/>
                <w:szCs w:val="22"/>
              </w:rPr>
              <w:t>the adjusted ba</w:t>
            </w:r>
            <w:r w:rsidR="00074CBD" w:rsidRPr="00CD7CA4">
              <w:rPr>
                <w:rFonts w:asciiTheme="majorHAnsi" w:hAnsiTheme="majorHAnsi" w:cs="Tahoma"/>
                <w:sz w:val="22"/>
                <w:szCs w:val="22"/>
              </w:rPr>
              <w:t>sis of the property</w:t>
            </w:r>
            <w:r w:rsidR="00293A48" w:rsidRPr="00CD7CA4">
              <w:rPr>
                <w:rFonts w:asciiTheme="majorHAnsi" w:hAnsiTheme="majorHAnsi" w:cs="Tahoma"/>
                <w:sz w:val="22"/>
                <w:szCs w:val="22"/>
              </w:rPr>
              <w:t xml:space="preserve"> (</w:t>
            </w:r>
            <w:r w:rsidR="00293A48" w:rsidRPr="00CD7CA4">
              <w:rPr>
                <w:rStyle w:val="ilfuvd"/>
                <w:rFonts w:asciiTheme="majorHAnsi" w:eastAsia="Times New Roman" w:hAnsiTheme="majorHAnsi"/>
                <w:sz w:val="22"/>
                <w:szCs w:val="22"/>
              </w:rPr>
              <w:t>original cost of property minus depreciation deductions and increased by capital expenditures) or $5,000</w:t>
            </w:r>
            <w:r w:rsidR="00CC227E">
              <w:rPr>
                <w:rFonts w:asciiTheme="majorHAnsi" w:hAnsiTheme="majorHAnsi" w:cs="Tahoma"/>
                <w:sz w:val="22"/>
                <w:szCs w:val="22"/>
              </w:rPr>
              <w:t>.  Credit only</w:t>
            </w:r>
            <w:r w:rsidR="00074CBD" w:rsidRPr="00CD7CA4">
              <w:rPr>
                <w:rFonts w:asciiTheme="majorHAnsi" w:hAnsiTheme="majorHAnsi" w:cs="Tahoma"/>
                <w:sz w:val="22"/>
                <w:szCs w:val="22"/>
              </w:rPr>
              <w:t xml:space="preserve"> be carried forward for 5 years</w:t>
            </w:r>
            <w:proofErr w:type="gramStart"/>
            <w:r w:rsidR="00074CBD" w:rsidRPr="00CD7CA4">
              <w:rPr>
                <w:rFonts w:asciiTheme="majorHAnsi" w:hAnsiTheme="majorHAnsi" w:cs="Tahoma"/>
                <w:sz w:val="22"/>
                <w:szCs w:val="22"/>
              </w:rPr>
              <w:t>.</w:t>
            </w:r>
            <w:r w:rsidR="00CD7CA4" w:rsidRPr="00CD7CA4">
              <w:rPr>
                <w:rFonts w:asciiTheme="majorHAnsi" w:hAnsiTheme="majorHAnsi" w:cs="Tahoma"/>
                <w:sz w:val="22"/>
                <w:szCs w:val="22"/>
              </w:rPr>
              <w:t>*</w:t>
            </w:r>
            <w:proofErr w:type="gramEnd"/>
          </w:p>
          <w:p w14:paraId="3C4EA597" w14:textId="77777777" w:rsidR="00115955" w:rsidRPr="00CD7CA4" w:rsidRDefault="00115955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03360AE" w14:textId="3C19E364" w:rsidR="00115955" w:rsidRPr="00CD7CA4" w:rsidRDefault="00115955" w:rsidP="0011595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 Roman"/>
                <w:color w:val="000000"/>
                <w:sz w:val="22"/>
                <w:szCs w:val="22"/>
              </w:rPr>
            </w:pPr>
            <w:r w:rsidRPr="00CD7CA4">
              <w:rPr>
                <w:rFonts w:asciiTheme="majorHAnsi" w:hAnsiTheme="majorHAnsi" w:cs="Tahoma"/>
                <w:sz w:val="22"/>
                <w:szCs w:val="22"/>
              </w:rPr>
              <w:t xml:space="preserve">National Park Service must certify the rehabilitation work.  </w:t>
            </w: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Work must conform to the Secretary of the Interior's Standards for Rehabilitation:</w:t>
            </w:r>
          </w:p>
          <w:p w14:paraId="6D63A54F" w14:textId="77777777" w:rsidR="00115955" w:rsidRPr="00CD7CA4" w:rsidRDefault="00115955" w:rsidP="0011595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 Roman"/>
                <w:color w:val="000000"/>
                <w:sz w:val="22"/>
                <w:szCs w:val="22"/>
              </w:rPr>
            </w:pPr>
            <w:proofErr w:type="gramStart"/>
            <w:r w:rsidRPr="00CD7CA4">
              <w:rPr>
                <w:rFonts w:asciiTheme="majorHAnsi" w:hAnsiTheme="majorHAnsi" w:cs="Times Roman"/>
                <w:color w:val="000000"/>
                <w:sz w:val="22"/>
                <w:szCs w:val="22"/>
              </w:rPr>
              <w:t>www.nps.gov</w:t>
            </w:r>
            <w:proofErr w:type="gramEnd"/>
            <w:r w:rsidRPr="00CD7CA4">
              <w:rPr>
                <w:rFonts w:asciiTheme="majorHAnsi" w:hAnsiTheme="majorHAnsi" w:cs="Times Roman"/>
                <w:color w:val="000000"/>
                <w:sz w:val="22"/>
                <w:szCs w:val="22"/>
              </w:rPr>
              <w:t>/tps/standards/rehabilitation.htm</w:t>
            </w:r>
          </w:p>
          <w:p w14:paraId="23D68F31" w14:textId="77777777" w:rsidR="00A56444" w:rsidRPr="00CD7CA4" w:rsidRDefault="00977515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  <w:r w:rsidRPr="00CD7CA4">
              <w:rPr>
                <w:rFonts w:asciiTheme="majorHAnsi" w:eastAsia="Times New Roman" w:hAnsiTheme="majorHAnsi"/>
                <w:sz w:val="22"/>
                <w:szCs w:val="22"/>
              </w:rPr>
              <w:t>The IRS defines qualified rehabilitation expenses on which the credit may be taken.</w:t>
            </w:r>
            <w:r w:rsidR="00A56444" w:rsidRPr="00CD7CA4">
              <w:rPr>
                <w:rFonts w:asciiTheme="majorHAnsi" w:eastAsia="Times New Roman" w:hAnsiTheme="majorHAnsi"/>
                <w:sz w:val="22"/>
                <w:szCs w:val="22"/>
              </w:rPr>
              <w:t xml:space="preserve"> Only those costs that are directly related to the repair or improvement of structural and architectural features of the historic building will qualify.</w:t>
            </w:r>
          </w:p>
          <w:p w14:paraId="79400697" w14:textId="77777777" w:rsidR="00CD7CA4" w:rsidRPr="00CD7CA4" w:rsidRDefault="00CD7CA4">
            <w:pPr>
              <w:rPr>
                <w:rFonts w:asciiTheme="majorHAnsi" w:eastAsia="Times New Roman" w:hAnsiTheme="majorHAnsi"/>
                <w:sz w:val="22"/>
                <w:szCs w:val="22"/>
              </w:rPr>
            </w:pPr>
          </w:p>
          <w:p w14:paraId="10478B0C" w14:textId="7B9B0E84" w:rsidR="00CD7CA4" w:rsidRPr="00A5468B" w:rsidRDefault="00CD7CA4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A5468B">
              <w:rPr>
                <w:rFonts w:asciiTheme="majorHAnsi" w:eastAsia="Times New Roman" w:hAnsiTheme="majorHAnsi"/>
                <w:sz w:val="20"/>
                <w:szCs w:val="20"/>
              </w:rPr>
              <w:t>* The new tax law enacted in 2017 – the Tax Cuts and Jobs Act (TCJA) reduced the Federal Rehabilitation tax benefit</w:t>
            </w:r>
            <w:r w:rsidR="00CC227E">
              <w:rPr>
                <w:rFonts w:asciiTheme="majorHAnsi" w:eastAsia="Times New Roman" w:hAnsiTheme="majorHAnsi"/>
                <w:sz w:val="20"/>
                <w:szCs w:val="20"/>
              </w:rPr>
              <w:t xml:space="preserve"> from 20 to 5 years</w:t>
            </w:r>
            <w:r w:rsidRPr="00A5468B">
              <w:rPr>
                <w:rFonts w:asciiTheme="majorHAnsi" w:eastAsia="Times New Roman" w:hAnsiTheme="majorHAnsi"/>
                <w:sz w:val="20"/>
                <w:szCs w:val="20"/>
              </w:rPr>
              <w:t>.</w:t>
            </w:r>
          </w:p>
        </w:tc>
        <w:tc>
          <w:tcPr>
            <w:tcW w:w="3101" w:type="dxa"/>
          </w:tcPr>
          <w:p w14:paraId="509642AD" w14:textId="11D784DB" w:rsidR="006673DE" w:rsidRPr="00CD7CA4" w:rsidRDefault="006673D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CD7CA4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The property must be an income-producing property.</w:t>
            </w:r>
          </w:p>
          <w:p w14:paraId="2F88B4ED" w14:textId="77777777" w:rsidR="006673DE" w:rsidRPr="00CD7CA4" w:rsidRDefault="006673D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14:paraId="71BB4C7D" w14:textId="7E1FD368" w:rsidR="00977515" w:rsidRPr="00CD7CA4" w:rsidRDefault="00977515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CD7CA4">
              <w:rPr>
                <w:rFonts w:asciiTheme="majorHAnsi" w:eastAsia="Times New Roman" w:hAnsiTheme="majorHAnsi"/>
                <w:sz w:val="22"/>
                <w:szCs w:val="22"/>
              </w:rPr>
              <w:t>The Secretary of the Interior, through the National Park Service, determines whether or not the building is a “certified historic structures.”</w:t>
            </w:r>
          </w:p>
          <w:p w14:paraId="688FAA7F" w14:textId="77777777" w:rsidR="00115955" w:rsidRPr="00CD7CA4" w:rsidRDefault="00115955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724C427E" w14:textId="2B0B0F95" w:rsidR="00115955" w:rsidRPr="00CD7CA4" w:rsidRDefault="00074CBD" w:rsidP="00115955">
            <w:pPr>
              <w:pStyle w:val="BodyText"/>
              <w:rPr>
                <w:rFonts w:asciiTheme="majorHAnsi" w:hAnsiTheme="majorHAnsi" w:cs="Arial"/>
                <w:szCs w:val="22"/>
              </w:rPr>
            </w:pPr>
            <w:r w:rsidRPr="00CD7CA4">
              <w:rPr>
                <w:rFonts w:asciiTheme="majorHAnsi" w:hAnsiTheme="majorHAnsi" w:cs="Arial"/>
                <w:color w:val="000000"/>
                <w:szCs w:val="22"/>
              </w:rPr>
              <w:t xml:space="preserve">The first point of contact is the NM Historic Preservation Division (HPD). </w:t>
            </w:r>
            <w:r w:rsidR="00977515" w:rsidRPr="00CD7CA4">
              <w:rPr>
                <w:rFonts w:asciiTheme="majorHAnsi" w:hAnsiTheme="majorHAnsi" w:cs="Arial"/>
                <w:color w:val="000000"/>
                <w:szCs w:val="22"/>
              </w:rPr>
              <w:t xml:space="preserve">For assistance in </w:t>
            </w:r>
            <w:r w:rsidR="00115955" w:rsidRPr="00CD7CA4">
              <w:rPr>
                <w:rFonts w:asciiTheme="majorHAnsi" w:hAnsiTheme="majorHAnsi" w:cs="Arial"/>
                <w:color w:val="000000"/>
                <w:szCs w:val="22"/>
              </w:rPr>
              <w:t>list</w:t>
            </w:r>
            <w:r w:rsidR="00977515" w:rsidRPr="00CD7CA4">
              <w:rPr>
                <w:rFonts w:asciiTheme="majorHAnsi" w:hAnsiTheme="majorHAnsi" w:cs="Arial"/>
                <w:color w:val="000000"/>
                <w:szCs w:val="22"/>
              </w:rPr>
              <w:t>ing the</w:t>
            </w:r>
            <w:r w:rsidR="00115955" w:rsidRPr="00CD7CA4">
              <w:rPr>
                <w:rFonts w:asciiTheme="majorHAnsi" w:hAnsiTheme="majorHAnsi" w:cs="Arial"/>
                <w:color w:val="000000"/>
                <w:szCs w:val="22"/>
              </w:rPr>
              <w:t xml:space="preserve"> property in</w:t>
            </w:r>
            <w:r w:rsidR="00115955" w:rsidRPr="00CD7CA4">
              <w:rPr>
                <w:rFonts w:asciiTheme="majorHAnsi" w:hAnsiTheme="majorHAnsi" w:cs="Arial"/>
                <w:i/>
                <w:iCs/>
                <w:szCs w:val="22"/>
              </w:rPr>
              <w:t xml:space="preserve"> the National Register of Historic Places (National Register</w:t>
            </w:r>
            <w:r w:rsidR="00115955" w:rsidRPr="00CD7CA4">
              <w:rPr>
                <w:rFonts w:asciiTheme="majorHAnsi" w:hAnsiTheme="majorHAnsi" w:cs="Arial"/>
                <w:szCs w:val="22"/>
              </w:rPr>
              <w:t xml:space="preserve">) </w:t>
            </w:r>
            <w:r w:rsidR="00115955" w:rsidRPr="00CD7CA4">
              <w:rPr>
                <w:rFonts w:asciiTheme="majorHAnsi" w:hAnsiTheme="majorHAnsi" w:cs="Arial"/>
                <w:color w:val="000000"/>
                <w:szCs w:val="22"/>
              </w:rPr>
              <w:t xml:space="preserve">contact Steven </w:t>
            </w:r>
            <w:proofErr w:type="spellStart"/>
            <w:r w:rsidR="00115955" w:rsidRPr="00CD7CA4">
              <w:rPr>
                <w:rFonts w:asciiTheme="majorHAnsi" w:hAnsiTheme="majorHAnsi" w:cs="Arial"/>
                <w:color w:val="000000"/>
                <w:szCs w:val="22"/>
              </w:rPr>
              <w:t>Moffson</w:t>
            </w:r>
            <w:proofErr w:type="spellEnd"/>
            <w:r w:rsidR="00115955" w:rsidRPr="00CD7CA4">
              <w:rPr>
                <w:rFonts w:asciiTheme="majorHAnsi" w:hAnsiTheme="majorHAnsi" w:cs="Arial"/>
                <w:color w:val="000000"/>
                <w:szCs w:val="22"/>
              </w:rPr>
              <w:t>, State and National Register Coordinator (</w:t>
            </w:r>
            <w:hyperlink r:id="rId10" w:history="1">
              <w:r w:rsidR="00115955" w:rsidRPr="00CD7CA4">
                <w:rPr>
                  <w:rStyle w:val="Hyperlink"/>
                  <w:rFonts w:asciiTheme="majorHAnsi" w:hAnsiTheme="majorHAnsi" w:cs="Arial"/>
                  <w:color w:val="1155CC"/>
                  <w:szCs w:val="22"/>
                </w:rPr>
                <w:t>steven.moffson@state.nm.us</w:t>
              </w:r>
            </w:hyperlink>
            <w:r w:rsidR="00115955" w:rsidRPr="00CD7CA4">
              <w:rPr>
                <w:rFonts w:asciiTheme="majorHAnsi" w:hAnsiTheme="majorHAnsi" w:cs="Arial"/>
                <w:color w:val="000000"/>
                <w:szCs w:val="22"/>
              </w:rPr>
              <w:t>)</w:t>
            </w:r>
            <w:r w:rsidR="00977515" w:rsidRPr="00CD7CA4">
              <w:rPr>
                <w:rFonts w:asciiTheme="majorHAnsi" w:hAnsiTheme="majorHAnsi" w:cs="Arial"/>
                <w:color w:val="000000"/>
                <w:szCs w:val="22"/>
              </w:rPr>
              <w:t>.</w:t>
            </w:r>
          </w:p>
          <w:p w14:paraId="7CC5F1E6" w14:textId="77777777" w:rsidR="00115955" w:rsidRPr="00CD7CA4" w:rsidRDefault="00115955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50DE1158" w14:textId="77777777" w:rsidR="00115955" w:rsidRPr="00CD7CA4" w:rsidRDefault="00115955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23ADF579" w14:textId="78B1832C" w:rsidR="006809A1" w:rsidRPr="00CD7CA4" w:rsidRDefault="006809A1" w:rsidP="0011595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14CADAE" w14:textId="1167B987" w:rsidR="008F55FE" w:rsidRPr="00CD7CA4" w:rsidRDefault="008F55FE" w:rsidP="003F16B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Theme="majorHAnsi" w:hAnsiTheme="majorHAnsi" w:cs="Times Roman"/>
          <w:color w:val="000000"/>
          <w:sz w:val="22"/>
          <w:szCs w:val="22"/>
        </w:rPr>
      </w:pPr>
    </w:p>
    <w:sectPr w:rsidR="008F55FE" w:rsidRPr="00CD7CA4" w:rsidSect="00153A1F">
      <w:headerReference w:type="default" r:id="rId11"/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24F5B" w14:textId="77777777" w:rsidR="008359EE" w:rsidRDefault="008359EE" w:rsidP="00CC227E">
      <w:r>
        <w:separator/>
      </w:r>
    </w:p>
  </w:endnote>
  <w:endnote w:type="continuationSeparator" w:id="0">
    <w:p w14:paraId="7258DC9A" w14:textId="77777777" w:rsidR="008359EE" w:rsidRDefault="008359EE" w:rsidP="00CC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68405" w14:textId="77777777" w:rsidR="008359EE" w:rsidRDefault="008359EE" w:rsidP="00CC227E">
      <w:r>
        <w:separator/>
      </w:r>
    </w:p>
  </w:footnote>
  <w:footnote w:type="continuationSeparator" w:id="0">
    <w:p w14:paraId="122CF619" w14:textId="77777777" w:rsidR="008359EE" w:rsidRDefault="008359EE" w:rsidP="00CC22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0B900" w14:textId="273171A0" w:rsidR="008359EE" w:rsidRPr="00CC227E" w:rsidRDefault="008359EE" w:rsidP="00CC227E">
    <w:pPr>
      <w:pStyle w:val="Header"/>
      <w:jc w:val="center"/>
      <w:rPr>
        <w:rFonts w:asciiTheme="majorHAnsi" w:hAnsiTheme="majorHAnsi"/>
        <w:sz w:val="22"/>
        <w:szCs w:val="22"/>
      </w:rPr>
    </w:pPr>
    <w:r w:rsidRPr="00CC227E">
      <w:rPr>
        <w:rFonts w:asciiTheme="majorHAnsi" w:hAnsiTheme="majorHAnsi"/>
        <w:sz w:val="22"/>
        <w:szCs w:val="22"/>
      </w:rPr>
      <w:t>HISTORIC PROPERTY TAX CREDITS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A1"/>
    <w:rsid w:val="00074CBD"/>
    <w:rsid w:val="00115955"/>
    <w:rsid w:val="00153A1F"/>
    <w:rsid w:val="00166B09"/>
    <w:rsid w:val="001836DF"/>
    <w:rsid w:val="002546EB"/>
    <w:rsid w:val="00293A48"/>
    <w:rsid w:val="00303A2D"/>
    <w:rsid w:val="003903EC"/>
    <w:rsid w:val="003F16B3"/>
    <w:rsid w:val="005200FC"/>
    <w:rsid w:val="005E56C0"/>
    <w:rsid w:val="006673DE"/>
    <w:rsid w:val="006809A1"/>
    <w:rsid w:val="00780DE7"/>
    <w:rsid w:val="00796370"/>
    <w:rsid w:val="008359EE"/>
    <w:rsid w:val="008F55FE"/>
    <w:rsid w:val="00977515"/>
    <w:rsid w:val="00A5468B"/>
    <w:rsid w:val="00A56444"/>
    <w:rsid w:val="00BA6E85"/>
    <w:rsid w:val="00CB3492"/>
    <w:rsid w:val="00CC227E"/>
    <w:rsid w:val="00CC79F1"/>
    <w:rsid w:val="00CD4FF5"/>
    <w:rsid w:val="00CD7CA4"/>
    <w:rsid w:val="00CF3DDA"/>
    <w:rsid w:val="00FA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0358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6809A1"/>
  </w:style>
  <w:style w:type="character" w:styleId="Emphasis">
    <w:name w:val="Emphasis"/>
    <w:basedOn w:val="DefaultParagraphFont"/>
    <w:uiPriority w:val="20"/>
    <w:qFormat/>
    <w:rsid w:val="006809A1"/>
    <w:rPr>
      <w:i/>
      <w:iCs/>
    </w:rPr>
  </w:style>
  <w:style w:type="paragraph" w:customStyle="1" w:styleId="normal0">
    <w:name w:val="normal"/>
    <w:rsid w:val="006809A1"/>
    <w:pPr>
      <w:spacing w:line="276" w:lineRule="auto"/>
      <w:contextualSpacing/>
    </w:pPr>
    <w:rPr>
      <w:rFonts w:ascii="Arial" w:eastAsia="Arial" w:hAnsi="Arial" w:cs="Arial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153A1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53A1F"/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153A1F"/>
    <w:rPr>
      <w:rFonts w:ascii="Times New Roman" w:eastAsia="Times New Roman" w:hAnsi="Times New Roman" w:cs="Times New Roman"/>
      <w:sz w:val="22"/>
    </w:rPr>
  </w:style>
  <w:style w:type="paragraph" w:styleId="Subtitle">
    <w:name w:val="Subtitle"/>
    <w:basedOn w:val="Normal"/>
    <w:link w:val="SubtitleChar"/>
    <w:qFormat/>
    <w:rsid w:val="00153A1F"/>
    <w:rPr>
      <w:rFonts w:ascii="Times New Roman" w:eastAsia="Batang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153A1F"/>
    <w:rPr>
      <w:rFonts w:ascii="Times New Roman" w:eastAsia="Batang" w:hAnsi="Times New Roman" w:cs="Times New Roman"/>
      <w:b/>
      <w:bCs/>
    </w:rPr>
  </w:style>
  <w:style w:type="character" w:customStyle="1" w:styleId="ilfuvd">
    <w:name w:val="ilfuvd"/>
    <w:basedOn w:val="DefaultParagraphFont"/>
    <w:rsid w:val="00293A48"/>
  </w:style>
  <w:style w:type="paragraph" w:styleId="Header">
    <w:name w:val="header"/>
    <w:basedOn w:val="Normal"/>
    <w:link w:val="HeaderChar"/>
    <w:uiPriority w:val="99"/>
    <w:unhideWhenUsed/>
    <w:rsid w:val="00CC22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27E"/>
  </w:style>
  <w:style w:type="paragraph" w:styleId="Footer">
    <w:name w:val="footer"/>
    <w:basedOn w:val="Normal"/>
    <w:link w:val="FooterChar"/>
    <w:uiPriority w:val="99"/>
    <w:unhideWhenUsed/>
    <w:rsid w:val="00CC22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2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6809A1"/>
  </w:style>
  <w:style w:type="character" w:styleId="Emphasis">
    <w:name w:val="Emphasis"/>
    <w:basedOn w:val="DefaultParagraphFont"/>
    <w:uiPriority w:val="20"/>
    <w:qFormat/>
    <w:rsid w:val="006809A1"/>
    <w:rPr>
      <w:i/>
      <w:iCs/>
    </w:rPr>
  </w:style>
  <w:style w:type="paragraph" w:customStyle="1" w:styleId="normal0">
    <w:name w:val="normal"/>
    <w:rsid w:val="006809A1"/>
    <w:pPr>
      <w:spacing w:line="276" w:lineRule="auto"/>
      <w:contextualSpacing/>
    </w:pPr>
    <w:rPr>
      <w:rFonts w:ascii="Arial" w:eastAsia="Arial" w:hAnsi="Arial" w:cs="Arial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153A1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53A1F"/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153A1F"/>
    <w:rPr>
      <w:rFonts w:ascii="Times New Roman" w:eastAsia="Times New Roman" w:hAnsi="Times New Roman" w:cs="Times New Roman"/>
      <w:sz w:val="22"/>
    </w:rPr>
  </w:style>
  <w:style w:type="paragraph" w:styleId="Subtitle">
    <w:name w:val="Subtitle"/>
    <w:basedOn w:val="Normal"/>
    <w:link w:val="SubtitleChar"/>
    <w:qFormat/>
    <w:rsid w:val="00153A1F"/>
    <w:rPr>
      <w:rFonts w:ascii="Times New Roman" w:eastAsia="Batang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153A1F"/>
    <w:rPr>
      <w:rFonts w:ascii="Times New Roman" w:eastAsia="Batang" w:hAnsi="Times New Roman" w:cs="Times New Roman"/>
      <w:b/>
      <w:bCs/>
    </w:rPr>
  </w:style>
  <w:style w:type="character" w:customStyle="1" w:styleId="ilfuvd">
    <w:name w:val="ilfuvd"/>
    <w:basedOn w:val="DefaultParagraphFont"/>
    <w:rsid w:val="00293A48"/>
  </w:style>
  <w:style w:type="paragraph" w:styleId="Header">
    <w:name w:val="header"/>
    <w:basedOn w:val="Normal"/>
    <w:link w:val="HeaderChar"/>
    <w:uiPriority w:val="99"/>
    <w:unhideWhenUsed/>
    <w:rsid w:val="00CC22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27E"/>
  </w:style>
  <w:style w:type="paragraph" w:styleId="Footer">
    <w:name w:val="footer"/>
    <w:basedOn w:val="Normal"/>
    <w:link w:val="FooterChar"/>
    <w:uiPriority w:val="99"/>
    <w:unhideWhenUsed/>
    <w:rsid w:val="00CC22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ax.newmexico.gov/Tax-Professionals/conservation-preservation-tax-credits.aspx" TargetMode="External"/><Relationship Id="rId9" Type="http://schemas.openxmlformats.org/officeDocument/2006/relationships/hyperlink" Target="mailto:steven.moffson@state.nm.us" TargetMode="External"/><Relationship Id="rId10" Type="http://schemas.openxmlformats.org/officeDocument/2006/relationships/hyperlink" Target="mailto:steven.moffson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651</Words>
  <Characters>3711</Characters>
  <Application>Microsoft Macintosh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</dc:creator>
  <cp:keywords/>
  <dc:description/>
  <cp:lastModifiedBy>Rhea</cp:lastModifiedBy>
  <cp:revision>5</cp:revision>
  <cp:lastPrinted>2018-09-27T20:35:00Z</cp:lastPrinted>
  <dcterms:created xsi:type="dcterms:W3CDTF">2018-09-26T17:56:00Z</dcterms:created>
  <dcterms:modified xsi:type="dcterms:W3CDTF">2018-10-02T17:46:00Z</dcterms:modified>
</cp:coreProperties>
</file>